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ADC0" w14:textId="77777777" w:rsidR="00F170FF" w:rsidRDefault="009479AD" w:rsidP="00F170FF">
      <w:pPr>
        <w:widowControl w:val="0"/>
        <w:jc w:val="center"/>
        <w:rPr>
          <w:snapToGrid w:val="0"/>
          <w:u w:val="single"/>
        </w:rPr>
      </w:pPr>
      <w:r>
        <w:rPr>
          <w:snapToGrid w:val="0"/>
          <w:u w:val="single"/>
        </w:rPr>
        <w:t xml:space="preserve">REFLEXION MEDICAL, INC. </w:t>
      </w:r>
    </w:p>
    <w:p w14:paraId="3F6C6735" w14:textId="77777777" w:rsidR="00F170FF" w:rsidRDefault="009479AD" w:rsidP="00F170FF">
      <w:pPr>
        <w:widowControl w:val="0"/>
        <w:jc w:val="center"/>
        <w:rPr>
          <w:snapToGrid w:val="0"/>
          <w:u w:val="single"/>
        </w:rPr>
      </w:pPr>
      <w:r>
        <w:rPr>
          <w:snapToGrid w:val="0"/>
          <w:u w:val="single"/>
        </w:rPr>
        <w:t>Annual Declaration Pursuant to California Health &amp; Safety Code §§ 119400-119402</w:t>
      </w:r>
    </w:p>
    <w:p w14:paraId="3CC02888" w14:textId="77777777" w:rsidR="00F170FF" w:rsidRDefault="007051BF" w:rsidP="00F170FF">
      <w:pPr>
        <w:widowControl w:val="0"/>
        <w:jc w:val="center"/>
        <w:rPr>
          <w:snapToGrid w:val="0"/>
          <w:u w:val="single"/>
        </w:rPr>
      </w:pPr>
    </w:p>
    <w:p w14:paraId="32DFBFCD" w14:textId="073D35AD" w:rsidR="00F170FF" w:rsidRDefault="009479AD" w:rsidP="00E8529F">
      <w:pPr>
        <w:widowControl w:val="0"/>
        <w:jc w:val="both"/>
        <w:rPr>
          <w:snapToGrid w:val="0"/>
        </w:rPr>
      </w:pPr>
      <w:r w:rsidRPr="00852E97">
        <w:rPr>
          <w:snapToGrid w:val="0"/>
        </w:rPr>
        <w:t>RefleXion Medical, Inc.</w:t>
      </w:r>
      <w:r>
        <w:rPr>
          <w:snapToGrid w:val="0"/>
        </w:rPr>
        <w:t xml:space="preserve"> (“</w:t>
      </w:r>
      <w:r w:rsidRPr="00852E97">
        <w:rPr>
          <w:snapToGrid w:val="0"/>
        </w:rPr>
        <w:t>RefleXion</w:t>
      </w:r>
      <w:r>
        <w:rPr>
          <w:snapToGrid w:val="0"/>
        </w:rPr>
        <w:t>”</w:t>
      </w:r>
      <w:r w:rsidR="001B71F7">
        <w:rPr>
          <w:snapToGrid w:val="0"/>
        </w:rPr>
        <w:t>, “we” and “our”</w:t>
      </w:r>
      <w:r>
        <w:rPr>
          <w:snapToGrid w:val="0"/>
        </w:rPr>
        <w:t xml:space="preserve">) is a medical device company committed towards the highest standards of business conduct including the </w:t>
      </w:r>
      <w:hyperlink r:id="rId6" w:history="1">
        <w:r w:rsidRPr="001261E1">
          <w:t>Compliance Program Guidance</w:t>
        </w:r>
      </w:hyperlink>
      <w:r w:rsidRPr="006A0BCC">
        <w:rPr>
          <w:snapToGrid w:val="0"/>
        </w:rPr>
        <w:t xml:space="preserve"> for Pharmaceutical</w:t>
      </w:r>
      <w:r>
        <w:rPr>
          <w:snapToGrid w:val="0"/>
        </w:rPr>
        <w:t xml:space="preserve"> </w:t>
      </w:r>
      <w:r w:rsidRPr="006A0BCC">
        <w:rPr>
          <w:snapToGrid w:val="0"/>
        </w:rPr>
        <w:t>Manufacturers,</w:t>
      </w:r>
      <w:r>
        <w:rPr>
          <w:snapToGrid w:val="0"/>
        </w:rPr>
        <w:t xml:space="preserve"> published by the Office of Inspector General of the Department of Health and Human Services (“OIG Guidance”), pursuant to </w:t>
      </w:r>
      <w:hyperlink r:id="rId7" w:anchor=":~:text=119400.,includes%20either%20of%20the%20following%3A&amp;text=(1)%20A%20person%20licensed%20by,prescribe%20drugs%20for%20human%20patients." w:history="1">
        <w:r w:rsidRPr="001261E1">
          <w:t>California Health &amp; Safety Code §§ 119400 -119402</w:t>
        </w:r>
      </w:hyperlink>
      <w:r>
        <w:rPr>
          <w:snapToGrid w:val="0"/>
        </w:rPr>
        <w:t xml:space="preserve">, and in conjunction with the </w:t>
      </w:r>
      <w:hyperlink r:id="rId8" w:history="1">
        <w:proofErr w:type="spellStart"/>
        <w:r w:rsidRPr="001261E1">
          <w:t>AdvaMed</w:t>
        </w:r>
        <w:proofErr w:type="spellEnd"/>
        <w:r w:rsidRPr="001261E1">
          <w:t xml:space="preserve"> Code of Ethics on Interactions with U.S. Health Care Professionals</w:t>
        </w:r>
      </w:hyperlink>
      <w:r>
        <w:rPr>
          <w:snapToGrid w:val="0"/>
        </w:rPr>
        <w:t xml:space="preserve"> (Jan. 1, 202</w:t>
      </w:r>
      <w:r w:rsidR="008C209D">
        <w:rPr>
          <w:snapToGrid w:val="0"/>
        </w:rPr>
        <w:t>1</w:t>
      </w:r>
      <w:r>
        <w:rPr>
          <w:snapToGrid w:val="0"/>
        </w:rPr>
        <w:t>) (“</w:t>
      </w:r>
      <w:proofErr w:type="spellStart"/>
      <w:r>
        <w:rPr>
          <w:snapToGrid w:val="0"/>
        </w:rPr>
        <w:t>AdvaMed</w:t>
      </w:r>
      <w:proofErr w:type="spellEnd"/>
      <w:r>
        <w:rPr>
          <w:snapToGrid w:val="0"/>
        </w:rPr>
        <w:t xml:space="preserve"> Code”). </w:t>
      </w:r>
    </w:p>
    <w:p w14:paraId="4CCDDF82" w14:textId="77777777" w:rsidR="00EF523B" w:rsidRDefault="007051BF" w:rsidP="00E8529F">
      <w:pPr>
        <w:widowControl w:val="0"/>
        <w:jc w:val="both"/>
        <w:rPr>
          <w:snapToGrid w:val="0"/>
        </w:rPr>
      </w:pPr>
    </w:p>
    <w:p w14:paraId="1104555F" w14:textId="0E17494C" w:rsidR="00906204" w:rsidRDefault="009479AD" w:rsidP="00E8529F">
      <w:pPr>
        <w:widowControl w:val="0"/>
        <w:jc w:val="both"/>
        <w:rPr>
          <w:snapToGrid w:val="0"/>
        </w:rPr>
      </w:pPr>
      <w:r>
        <w:rPr>
          <w:snapToGrid w:val="0"/>
        </w:rPr>
        <w:t xml:space="preserve">As an emerging medical device company, </w:t>
      </w:r>
      <w:r w:rsidRPr="00EF523B">
        <w:rPr>
          <w:snapToGrid w:val="0"/>
        </w:rPr>
        <w:t>RefleXion</w:t>
      </w:r>
      <w:r>
        <w:rPr>
          <w:snapToGrid w:val="0"/>
        </w:rPr>
        <w:t xml:space="preserve"> has implemented a </w:t>
      </w:r>
      <w:r w:rsidRPr="00EF523B">
        <w:rPr>
          <w:snapToGrid w:val="0"/>
        </w:rPr>
        <w:t>Comprehensive Compliance Program</w:t>
      </w:r>
      <w:r>
        <w:rPr>
          <w:snapToGrid w:val="0"/>
        </w:rPr>
        <w:t xml:space="preserve"> as a key component of our ethical and business standards. The </w:t>
      </w:r>
      <w:r w:rsidRPr="00906204">
        <w:rPr>
          <w:snapToGrid w:val="0"/>
        </w:rPr>
        <w:t>Cal</w:t>
      </w:r>
      <w:r>
        <w:rPr>
          <w:snapToGrid w:val="0"/>
        </w:rPr>
        <w:t>ifornia</w:t>
      </w:r>
      <w:r w:rsidRPr="00906204">
        <w:rPr>
          <w:snapToGrid w:val="0"/>
        </w:rPr>
        <w:t xml:space="preserve"> Health and Safety C</w:t>
      </w:r>
      <w:r>
        <w:rPr>
          <w:snapToGrid w:val="0"/>
        </w:rPr>
        <w:t xml:space="preserve">ode §§ 119400-119402 references compliance with the </w:t>
      </w:r>
      <w:hyperlink r:id="rId9" w:history="1">
        <w:r w:rsidRPr="001261E1">
          <w:t>Pharmaceutical Research and Manufacturers of America Code on Interactions with Healthcare Professionals</w:t>
        </w:r>
      </w:hyperlink>
      <w:r w:rsidR="00001F3B">
        <w:rPr>
          <w:snapToGrid w:val="0"/>
        </w:rPr>
        <w:t xml:space="preserve"> (June 30, 2020)</w:t>
      </w:r>
      <w:r>
        <w:rPr>
          <w:snapToGrid w:val="0"/>
        </w:rPr>
        <w:t xml:space="preserve"> (the “PhRMA Code”). Instead, since RefleXion is a medical device company and not a pharmaceutical company, our compliance program will be developed </w:t>
      </w:r>
      <w:r w:rsidRPr="000D0CBA">
        <w:rPr>
          <w:snapToGrid w:val="0"/>
        </w:rPr>
        <w:t xml:space="preserve">accordance with the </w:t>
      </w:r>
      <w:proofErr w:type="spellStart"/>
      <w:r w:rsidRPr="000D0CBA">
        <w:rPr>
          <w:snapToGrid w:val="0"/>
        </w:rPr>
        <w:t>AdvaMed</w:t>
      </w:r>
      <w:proofErr w:type="spellEnd"/>
      <w:r w:rsidRPr="000D0CBA">
        <w:rPr>
          <w:snapToGrid w:val="0"/>
        </w:rPr>
        <w:t xml:space="preserve"> </w:t>
      </w:r>
      <w:proofErr w:type="gramStart"/>
      <w:r w:rsidRPr="000D0CBA">
        <w:rPr>
          <w:snapToGrid w:val="0"/>
        </w:rPr>
        <w:t>Code</w:t>
      </w:r>
      <w:proofErr w:type="gramEnd"/>
      <w:r w:rsidRPr="000D0CBA">
        <w:rPr>
          <w:snapToGrid w:val="0"/>
        </w:rPr>
        <w:t xml:space="preserve"> which is substantially similar to the PhRMA Code</w:t>
      </w:r>
      <w:r>
        <w:rPr>
          <w:snapToGrid w:val="0"/>
        </w:rPr>
        <w:t xml:space="preserve">, with respect to the </w:t>
      </w:r>
      <w:r w:rsidRPr="000D0CBA">
        <w:rPr>
          <w:snapToGrid w:val="0"/>
        </w:rPr>
        <w:t>interactions between medical device manufacturers and healthcare professionals.</w:t>
      </w:r>
    </w:p>
    <w:p w14:paraId="6E4BDA80" w14:textId="77777777" w:rsidR="000D0CBA" w:rsidRDefault="007051BF" w:rsidP="00E8529F">
      <w:pPr>
        <w:widowControl w:val="0"/>
        <w:jc w:val="both"/>
        <w:rPr>
          <w:snapToGrid w:val="0"/>
        </w:rPr>
      </w:pPr>
    </w:p>
    <w:p w14:paraId="6F0A5B28" w14:textId="2580B923" w:rsidR="00874BDB" w:rsidRDefault="009479AD" w:rsidP="00E8529F">
      <w:pPr>
        <w:widowControl w:val="0"/>
        <w:jc w:val="both"/>
        <w:rPr>
          <w:snapToGrid w:val="0"/>
        </w:rPr>
      </w:pPr>
      <w:r w:rsidRPr="00D77EAE">
        <w:rPr>
          <w:snapToGrid w:val="0"/>
        </w:rPr>
        <w:t xml:space="preserve">The purpose </w:t>
      </w:r>
      <w:r>
        <w:rPr>
          <w:snapToGrid w:val="0"/>
        </w:rPr>
        <w:t xml:space="preserve">of our compliance program is reasonably designed, </w:t>
      </w:r>
      <w:r w:rsidRPr="0099471F">
        <w:rPr>
          <w:snapToGrid w:val="0"/>
        </w:rPr>
        <w:t>based on a good faith effort</w:t>
      </w:r>
      <w:r>
        <w:rPr>
          <w:snapToGrid w:val="0"/>
        </w:rPr>
        <w:t>, to (</w:t>
      </w:r>
      <w:proofErr w:type="spellStart"/>
      <w:r>
        <w:rPr>
          <w:snapToGrid w:val="0"/>
        </w:rPr>
        <w:t>i</w:t>
      </w:r>
      <w:proofErr w:type="spellEnd"/>
      <w:r>
        <w:rPr>
          <w:snapToGrid w:val="0"/>
        </w:rPr>
        <w:t xml:space="preserve">) </w:t>
      </w:r>
      <w:r w:rsidRPr="00D77EAE">
        <w:rPr>
          <w:snapToGrid w:val="0"/>
        </w:rPr>
        <w:t>prevent and detect violati</w:t>
      </w:r>
      <w:r>
        <w:rPr>
          <w:snapToGrid w:val="0"/>
        </w:rPr>
        <w:t xml:space="preserve">ons of law or company policy and (ii) comply with applicable statues and regulations as well as federal health care program requirements. However, we cannot </w:t>
      </w:r>
      <w:r w:rsidRPr="00AF2BEE">
        <w:rPr>
          <w:snapToGrid w:val="0"/>
        </w:rPr>
        <w:t xml:space="preserve">guarantee the </w:t>
      </w:r>
      <w:r>
        <w:rPr>
          <w:snapToGrid w:val="0"/>
        </w:rPr>
        <w:t xml:space="preserve">elimination of improper conduct as the OIG Guidance acknowledges. It is RefleXion’s expectation that all employees and associates </w:t>
      </w:r>
      <w:r w:rsidRPr="00AF2BEE">
        <w:rPr>
          <w:snapToGrid w:val="0"/>
        </w:rPr>
        <w:t>will comply with our compliance program as well as with all applicable laws, regulations</w:t>
      </w:r>
      <w:r>
        <w:rPr>
          <w:snapToGrid w:val="0"/>
        </w:rPr>
        <w:t>,</w:t>
      </w:r>
      <w:r w:rsidRPr="00AF2BEE">
        <w:rPr>
          <w:snapToGrid w:val="0"/>
        </w:rPr>
        <w:t xml:space="preserve"> and policies</w:t>
      </w:r>
      <w:r>
        <w:rPr>
          <w:snapToGrid w:val="0"/>
        </w:rPr>
        <w:t xml:space="preserve">. </w:t>
      </w:r>
      <w:r w:rsidR="00426C7C">
        <w:rPr>
          <w:snapToGrid w:val="0"/>
        </w:rPr>
        <w:t xml:space="preserve">Any </w:t>
      </w:r>
      <w:r w:rsidR="007A5CF1">
        <w:rPr>
          <w:snapToGrid w:val="0"/>
        </w:rPr>
        <w:t xml:space="preserve">actual or reasonably suspected </w:t>
      </w:r>
      <w:r w:rsidR="00426C7C">
        <w:rPr>
          <w:snapToGrid w:val="0"/>
        </w:rPr>
        <w:t>instance of misconduct or violation of the compliance policy by an employee or associate will be subject to review and may include disciplinary action</w:t>
      </w:r>
      <w:r>
        <w:rPr>
          <w:snapToGrid w:val="0"/>
        </w:rPr>
        <w:t>.</w:t>
      </w:r>
    </w:p>
    <w:p w14:paraId="7B57F4B4" w14:textId="77777777" w:rsidR="00E76027" w:rsidRDefault="007051BF" w:rsidP="00E8529F">
      <w:pPr>
        <w:widowControl w:val="0"/>
        <w:jc w:val="both"/>
        <w:rPr>
          <w:snapToGrid w:val="0"/>
        </w:rPr>
      </w:pPr>
    </w:p>
    <w:p w14:paraId="7853A23C" w14:textId="77777777" w:rsidR="00E76027" w:rsidRPr="00E76027" w:rsidRDefault="009479AD" w:rsidP="00E8529F">
      <w:pPr>
        <w:widowControl w:val="0"/>
        <w:jc w:val="both"/>
        <w:rPr>
          <w:snapToGrid w:val="0"/>
        </w:rPr>
      </w:pPr>
      <w:r w:rsidRPr="00E76027">
        <w:rPr>
          <w:snapToGrid w:val="0"/>
        </w:rPr>
        <w:t>We recognize that compliance programs must adapt to changing external requirements as</w:t>
      </w:r>
    </w:p>
    <w:p w14:paraId="3B83D9F3" w14:textId="4CC382D3" w:rsidR="006C4FE5" w:rsidRDefault="009479AD" w:rsidP="00E8529F">
      <w:pPr>
        <w:widowControl w:val="0"/>
        <w:jc w:val="both"/>
        <w:rPr>
          <w:snapToGrid w:val="0"/>
        </w:rPr>
      </w:pPr>
      <w:r w:rsidRPr="00E76027">
        <w:rPr>
          <w:snapToGrid w:val="0"/>
        </w:rPr>
        <w:t xml:space="preserve">well as a company’s evolving business and risk management needs. </w:t>
      </w:r>
      <w:r w:rsidRPr="006C4FE5">
        <w:rPr>
          <w:snapToGrid w:val="0"/>
        </w:rPr>
        <w:t xml:space="preserve">We </w:t>
      </w:r>
      <w:r>
        <w:rPr>
          <w:snapToGrid w:val="0"/>
        </w:rPr>
        <w:t xml:space="preserve">plan to </w:t>
      </w:r>
      <w:r w:rsidRPr="006C4FE5">
        <w:rPr>
          <w:snapToGrid w:val="0"/>
        </w:rPr>
        <w:t>continuously</w:t>
      </w:r>
      <w:r w:rsidR="00014C2D" w:rsidRPr="006C4FE5">
        <w:rPr>
          <w:snapToGrid w:val="0"/>
        </w:rPr>
        <w:t xml:space="preserve"> </w:t>
      </w:r>
      <w:r w:rsidRPr="006C4FE5">
        <w:rPr>
          <w:snapToGrid w:val="0"/>
        </w:rPr>
        <w:t>review, assess and improve our compliance program to meet c</w:t>
      </w:r>
      <w:r>
        <w:rPr>
          <w:snapToGrid w:val="0"/>
        </w:rPr>
        <w:t>hanging needs and circumstances.</w:t>
      </w:r>
    </w:p>
    <w:p w14:paraId="4C4D0662" w14:textId="77777777" w:rsidR="00D30ECA" w:rsidRDefault="007051BF" w:rsidP="00E8529F">
      <w:pPr>
        <w:widowControl w:val="0"/>
        <w:jc w:val="both"/>
        <w:rPr>
          <w:snapToGrid w:val="0"/>
        </w:rPr>
      </w:pPr>
    </w:p>
    <w:p w14:paraId="41FAC5E7" w14:textId="61C560E4" w:rsidR="00D30ECA" w:rsidRDefault="009479AD" w:rsidP="00E8529F">
      <w:pPr>
        <w:widowControl w:val="0"/>
        <w:jc w:val="both"/>
        <w:rPr>
          <w:snapToGrid w:val="0"/>
        </w:rPr>
      </w:pPr>
      <w:r>
        <w:rPr>
          <w:snapToGrid w:val="0"/>
        </w:rPr>
        <w:t>Refle</w:t>
      </w:r>
      <w:r w:rsidR="00BE30BD">
        <w:rPr>
          <w:snapToGrid w:val="0"/>
        </w:rPr>
        <w:t>X</w:t>
      </w:r>
      <w:r>
        <w:rPr>
          <w:snapToGrid w:val="0"/>
        </w:rPr>
        <w:t xml:space="preserve">ion has demonstrated a good faith effort to comply with the OIG Guidance through its Comprehensive Compliance Program. </w:t>
      </w:r>
    </w:p>
    <w:p w14:paraId="4C8702C3" w14:textId="77777777" w:rsidR="00D30ECA" w:rsidRDefault="007051BF" w:rsidP="00E8529F">
      <w:pPr>
        <w:widowControl w:val="0"/>
        <w:jc w:val="both"/>
        <w:rPr>
          <w:snapToGrid w:val="0"/>
        </w:rPr>
      </w:pPr>
    </w:p>
    <w:p w14:paraId="7281D67E" w14:textId="77777777" w:rsidR="00D30ECA" w:rsidRPr="00D30ECA" w:rsidRDefault="009479AD" w:rsidP="00E8529F">
      <w:pPr>
        <w:widowControl w:val="0"/>
        <w:jc w:val="both"/>
        <w:rPr>
          <w:snapToGrid w:val="0"/>
        </w:rPr>
      </w:pPr>
      <w:r>
        <w:rPr>
          <w:snapToGrid w:val="0"/>
        </w:rPr>
        <w:t xml:space="preserve">Below are additional details regarding RefleXion’s </w:t>
      </w:r>
      <w:r w:rsidRPr="00735C79">
        <w:rPr>
          <w:snapToGrid w:val="0"/>
        </w:rPr>
        <w:t>Comprehensive Compliance Program</w:t>
      </w:r>
      <w:r>
        <w:rPr>
          <w:snapToGrid w:val="0"/>
        </w:rPr>
        <w:t>.</w:t>
      </w:r>
    </w:p>
    <w:p w14:paraId="7A0E8FF0" w14:textId="77777777" w:rsidR="00D02113" w:rsidRDefault="007051BF" w:rsidP="00E8529F">
      <w:pPr>
        <w:widowControl w:val="0"/>
        <w:jc w:val="both"/>
        <w:rPr>
          <w:snapToGrid w:val="0"/>
        </w:rPr>
      </w:pPr>
    </w:p>
    <w:p w14:paraId="1BB4E73F" w14:textId="77777777" w:rsidR="00D02113" w:rsidRPr="00D02113" w:rsidRDefault="009479AD" w:rsidP="00E8529F">
      <w:pPr>
        <w:widowControl w:val="0"/>
        <w:jc w:val="both"/>
        <w:rPr>
          <w:i/>
          <w:snapToGrid w:val="0"/>
          <w:u w:val="single"/>
        </w:rPr>
      </w:pPr>
      <w:r w:rsidRPr="00D02113">
        <w:rPr>
          <w:i/>
          <w:snapToGrid w:val="0"/>
          <w:u w:val="single"/>
        </w:rPr>
        <w:t xml:space="preserve">Implementation of </w:t>
      </w:r>
      <w:r>
        <w:rPr>
          <w:i/>
          <w:snapToGrid w:val="0"/>
          <w:u w:val="single"/>
        </w:rPr>
        <w:t>W</w:t>
      </w:r>
      <w:r w:rsidRPr="00D02113">
        <w:rPr>
          <w:i/>
          <w:snapToGrid w:val="0"/>
          <w:u w:val="single"/>
        </w:rPr>
        <w:t xml:space="preserve">ritten </w:t>
      </w:r>
      <w:r>
        <w:rPr>
          <w:i/>
          <w:snapToGrid w:val="0"/>
          <w:u w:val="single"/>
        </w:rPr>
        <w:t>P</w:t>
      </w:r>
      <w:r w:rsidRPr="00D02113">
        <w:rPr>
          <w:i/>
          <w:snapToGrid w:val="0"/>
          <w:u w:val="single"/>
        </w:rPr>
        <w:t>olicies</w:t>
      </w:r>
      <w:r>
        <w:rPr>
          <w:i/>
          <w:snapToGrid w:val="0"/>
          <w:u w:val="single"/>
        </w:rPr>
        <w:t xml:space="preserve"> and P</w:t>
      </w:r>
      <w:r w:rsidRPr="00D02113">
        <w:rPr>
          <w:i/>
          <w:snapToGrid w:val="0"/>
          <w:u w:val="single"/>
        </w:rPr>
        <w:t>rocedures</w:t>
      </w:r>
    </w:p>
    <w:p w14:paraId="06181583" w14:textId="412F2FD8" w:rsidR="00D30ECA" w:rsidRDefault="009479AD" w:rsidP="00E8529F">
      <w:pPr>
        <w:widowControl w:val="0"/>
        <w:jc w:val="both"/>
        <w:rPr>
          <w:snapToGrid w:val="0"/>
        </w:rPr>
      </w:pPr>
      <w:r w:rsidRPr="00D30ECA">
        <w:rPr>
          <w:snapToGrid w:val="0"/>
        </w:rPr>
        <w:t>(1) The development and distribution of written standards of conduct, as well as written policies, procedures and protocols that verbalize the company’s commitment to compliance (e.g., by including adherence to the compliance</w:t>
      </w:r>
      <w:r>
        <w:rPr>
          <w:snapToGrid w:val="0"/>
        </w:rPr>
        <w:t xml:space="preserve"> </w:t>
      </w:r>
      <w:r w:rsidRPr="00D30ECA">
        <w:rPr>
          <w:snapToGrid w:val="0"/>
        </w:rPr>
        <w:t xml:space="preserve">program as an element in </w:t>
      </w:r>
      <w:r w:rsidR="002A473B">
        <w:rPr>
          <w:snapToGrid w:val="0"/>
        </w:rPr>
        <w:t>the expected performance of</w:t>
      </w:r>
      <w:r w:rsidR="002A473B" w:rsidRPr="00D30ECA">
        <w:rPr>
          <w:snapToGrid w:val="0"/>
        </w:rPr>
        <w:t xml:space="preserve"> </w:t>
      </w:r>
      <w:r w:rsidRPr="00D30ECA">
        <w:rPr>
          <w:snapToGrid w:val="0"/>
        </w:rPr>
        <w:t xml:space="preserve">management and employees) and address specific areas of potential fraud and abuse, such as the reporting of pricing and rebate information to the federal health care programs, and sales and marketing </w:t>
      </w:r>
      <w:proofErr w:type="gramStart"/>
      <w:r w:rsidRPr="00D30ECA">
        <w:rPr>
          <w:snapToGrid w:val="0"/>
        </w:rPr>
        <w:t>practices;</w:t>
      </w:r>
      <w:proofErr w:type="gramEnd"/>
      <w:r w:rsidRPr="00D30ECA">
        <w:rPr>
          <w:snapToGrid w:val="0"/>
        </w:rPr>
        <w:t xml:space="preserve"> </w:t>
      </w:r>
    </w:p>
    <w:p w14:paraId="64FDE9DA" w14:textId="77777777" w:rsidR="00D30ECA" w:rsidRDefault="007051BF" w:rsidP="00E8529F">
      <w:pPr>
        <w:widowControl w:val="0"/>
        <w:jc w:val="both"/>
        <w:rPr>
          <w:snapToGrid w:val="0"/>
        </w:rPr>
      </w:pPr>
    </w:p>
    <w:p w14:paraId="7230B208" w14:textId="77777777" w:rsidR="00F662F9" w:rsidRDefault="00F662F9" w:rsidP="00E8529F">
      <w:pPr>
        <w:widowControl w:val="0"/>
        <w:jc w:val="both"/>
        <w:rPr>
          <w:i/>
          <w:snapToGrid w:val="0"/>
          <w:u w:val="single"/>
        </w:rPr>
      </w:pPr>
    </w:p>
    <w:p w14:paraId="7C0130ED" w14:textId="24692EAF" w:rsidR="00D02113" w:rsidRPr="00D02113" w:rsidRDefault="009479AD" w:rsidP="00E8529F">
      <w:pPr>
        <w:widowControl w:val="0"/>
        <w:jc w:val="both"/>
        <w:rPr>
          <w:i/>
          <w:snapToGrid w:val="0"/>
          <w:u w:val="single"/>
        </w:rPr>
      </w:pPr>
      <w:r w:rsidRPr="00D02113">
        <w:rPr>
          <w:i/>
          <w:snapToGrid w:val="0"/>
          <w:u w:val="single"/>
        </w:rPr>
        <w:lastRenderedPageBreak/>
        <w:t>Compliance Leadership</w:t>
      </w:r>
    </w:p>
    <w:p w14:paraId="54BEE10B" w14:textId="3096FEBF" w:rsidR="00D30ECA" w:rsidRDefault="009479AD" w:rsidP="00E8529F">
      <w:pPr>
        <w:widowControl w:val="0"/>
        <w:jc w:val="both"/>
        <w:rPr>
          <w:snapToGrid w:val="0"/>
        </w:rPr>
      </w:pPr>
      <w:r w:rsidRPr="00D30ECA">
        <w:rPr>
          <w:snapToGrid w:val="0"/>
        </w:rPr>
        <w:t xml:space="preserve">(2) The designation of a </w:t>
      </w:r>
      <w:r w:rsidR="003A63F3">
        <w:rPr>
          <w:snapToGrid w:val="0"/>
        </w:rPr>
        <w:t>Chief C</w:t>
      </w:r>
      <w:r w:rsidRPr="00D30ECA">
        <w:rPr>
          <w:snapToGrid w:val="0"/>
        </w:rPr>
        <w:t xml:space="preserve">ompliance </w:t>
      </w:r>
      <w:r w:rsidR="003A63F3">
        <w:rPr>
          <w:snapToGrid w:val="0"/>
        </w:rPr>
        <w:t>O</w:t>
      </w:r>
      <w:r w:rsidRPr="00D30ECA">
        <w:rPr>
          <w:snapToGrid w:val="0"/>
        </w:rPr>
        <w:t xml:space="preserve">fficer and other appropriate bodies (e.g., a corporate compliance committee) charged with the responsibility for developing, operating, and </w:t>
      </w:r>
      <w:r>
        <w:rPr>
          <w:snapToGrid w:val="0"/>
        </w:rPr>
        <w:t>m</w:t>
      </w:r>
      <w:r w:rsidRPr="00D30ECA">
        <w:rPr>
          <w:snapToGrid w:val="0"/>
        </w:rPr>
        <w:t xml:space="preserve">onitoring the compliance program, and with authority to report directly to the </w:t>
      </w:r>
      <w:r w:rsidR="003A63F3">
        <w:rPr>
          <w:snapToGrid w:val="0"/>
        </w:rPr>
        <w:t xml:space="preserve">Audit Committee of the </w:t>
      </w:r>
      <w:r w:rsidRPr="00D30ECA">
        <w:rPr>
          <w:snapToGrid w:val="0"/>
        </w:rPr>
        <w:t xml:space="preserve">board of directors and/or the </w:t>
      </w:r>
      <w:proofErr w:type="gramStart"/>
      <w:r w:rsidRPr="00D30ECA">
        <w:rPr>
          <w:snapToGrid w:val="0"/>
        </w:rPr>
        <w:t>CEO;</w:t>
      </w:r>
      <w:proofErr w:type="gramEnd"/>
    </w:p>
    <w:p w14:paraId="39CC4108" w14:textId="77777777" w:rsidR="00D30ECA" w:rsidRDefault="007051BF" w:rsidP="00E8529F">
      <w:pPr>
        <w:widowControl w:val="0"/>
        <w:jc w:val="both"/>
        <w:rPr>
          <w:snapToGrid w:val="0"/>
        </w:rPr>
      </w:pPr>
    </w:p>
    <w:p w14:paraId="6BE7A82B" w14:textId="77777777" w:rsidR="00D02113" w:rsidRPr="00D02113" w:rsidRDefault="009479AD" w:rsidP="00E8529F">
      <w:pPr>
        <w:widowControl w:val="0"/>
        <w:jc w:val="both"/>
        <w:rPr>
          <w:i/>
          <w:snapToGrid w:val="0"/>
          <w:u w:val="single"/>
        </w:rPr>
      </w:pPr>
      <w:r w:rsidRPr="00D02113">
        <w:rPr>
          <w:i/>
          <w:snapToGrid w:val="0"/>
          <w:u w:val="single"/>
        </w:rPr>
        <w:t>Education and Training Programs</w:t>
      </w:r>
    </w:p>
    <w:p w14:paraId="312B78C7" w14:textId="5D29F0C5" w:rsidR="00D30ECA" w:rsidRDefault="009479AD" w:rsidP="00E8529F">
      <w:pPr>
        <w:widowControl w:val="0"/>
        <w:jc w:val="both"/>
        <w:rPr>
          <w:snapToGrid w:val="0"/>
        </w:rPr>
      </w:pPr>
      <w:r w:rsidRPr="00D30ECA">
        <w:rPr>
          <w:snapToGrid w:val="0"/>
        </w:rPr>
        <w:t xml:space="preserve">(3) The development and implementation of regular, effective education and training programs for all affected </w:t>
      </w:r>
      <w:proofErr w:type="gramStart"/>
      <w:r w:rsidRPr="00D30ECA">
        <w:rPr>
          <w:snapToGrid w:val="0"/>
        </w:rPr>
        <w:t>employees;</w:t>
      </w:r>
      <w:proofErr w:type="gramEnd"/>
    </w:p>
    <w:p w14:paraId="6BC52735" w14:textId="77777777" w:rsidR="00D30ECA" w:rsidRDefault="007051BF" w:rsidP="00E8529F">
      <w:pPr>
        <w:widowControl w:val="0"/>
        <w:jc w:val="both"/>
        <w:rPr>
          <w:snapToGrid w:val="0"/>
        </w:rPr>
      </w:pPr>
    </w:p>
    <w:p w14:paraId="057E0FF2" w14:textId="77777777" w:rsidR="00D02113" w:rsidRPr="00D02113" w:rsidRDefault="009479AD" w:rsidP="00E8529F">
      <w:pPr>
        <w:widowControl w:val="0"/>
        <w:jc w:val="both"/>
        <w:rPr>
          <w:i/>
          <w:snapToGrid w:val="0"/>
          <w:u w:val="single"/>
        </w:rPr>
      </w:pPr>
      <w:r w:rsidRPr="00D02113">
        <w:rPr>
          <w:i/>
          <w:snapToGrid w:val="0"/>
          <w:u w:val="single"/>
        </w:rPr>
        <w:t>Compliance Communication</w:t>
      </w:r>
    </w:p>
    <w:p w14:paraId="50367BC6" w14:textId="2BB7B9D5" w:rsidR="00D30ECA" w:rsidRDefault="009479AD" w:rsidP="00E8529F">
      <w:pPr>
        <w:widowControl w:val="0"/>
        <w:jc w:val="both"/>
        <w:rPr>
          <w:snapToGrid w:val="0"/>
        </w:rPr>
      </w:pPr>
      <w:r w:rsidRPr="00D30ECA">
        <w:rPr>
          <w:snapToGrid w:val="0"/>
        </w:rPr>
        <w:t>(4) The creation and maintenance of</w:t>
      </w:r>
      <w:r>
        <w:rPr>
          <w:snapToGrid w:val="0"/>
        </w:rPr>
        <w:t xml:space="preserve"> </w:t>
      </w:r>
      <w:r w:rsidRPr="00D30ECA">
        <w:rPr>
          <w:snapToGrid w:val="0"/>
        </w:rPr>
        <w:t xml:space="preserve">an effective line of communication between the compliance officer and all employees, including a process (such as a hotline or other reporting system) to receive complaints or questions, and the adoption of procedures to protect the anonymity of complainants and to protect whistleblowers from </w:t>
      </w:r>
      <w:proofErr w:type="gramStart"/>
      <w:r w:rsidRPr="00D30ECA">
        <w:rPr>
          <w:snapToGrid w:val="0"/>
        </w:rPr>
        <w:t>retaliation;</w:t>
      </w:r>
      <w:proofErr w:type="gramEnd"/>
    </w:p>
    <w:p w14:paraId="553731FF" w14:textId="77777777" w:rsidR="00D30ECA" w:rsidRDefault="007051BF" w:rsidP="00E8529F">
      <w:pPr>
        <w:widowControl w:val="0"/>
        <w:jc w:val="both"/>
        <w:rPr>
          <w:snapToGrid w:val="0"/>
        </w:rPr>
      </w:pPr>
    </w:p>
    <w:p w14:paraId="4185E006" w14:textId="77777777" w:rsidR="00D02113" w:rsidRPr="00D02113" w:rsidRDefault="009479AD" w:rsidP="00E8529F">
      <w:pPr>
        <w:widowControl w:val="0"/>
        <w:jc w:val="both"/>
        <w:rPr>
          <w:i/>
          <w:snapToGrid w:val="0"/>
        </w:rPr>
      </w:pPr>
      <w:r w:rsidRPr="00D02113">
        <w:rPr>
          <w:i/>
          <w:snapToGrid w:val="0"/>
          <w:u w:val="single"/>
        </w:rPr>
        <w:t>Internal Monitoring Auditing Policies</w:t>
      </w:r>
      <w:r>
        <w:rPr>
          <w:i/>
          <w:snapToGrid w:val="0"/>
        </w:rPr>
        <w:t xml:space="preserve"> </w:t>
      </w:r>
    </w:p>
    <w:p w14:paraId="47F01E98" w14:textId="57DDE82B" w:rsidR="00D30ECA" w:rsidRDefault="009479AD" w:rsidP="00E8529F">
      <w:pPr>
        <w:widowControl w:val="0"/>
        <w:jc w:val="both"/>
        <w:rPr>
          <w:snapToGrid w:val="0"/>
        </w:rPr>
      </w:pPr>
      <w:r w:rsidRPr="00D30ECA">
        <w:rPr>
          <w:snapToGrid w:val="0"/>
        </w:rPr>
        <w:t xml:space="preserve">(5) The use of audits and/or other risk evaluation techniques to monitor compliance, identify problem areas, and assist in the reduction of identified </w:t>
      </w:r>
      <w:proofErr w:type="gramStart"/>
      <w:r w:rsidRPr="00D30ECA">
        <w:rPr>
          <w:snapToGrid w:val="0"/>
        </w:rPr>
        <w:t>problems;</w:t>
      </w:r>
      <w:proofErr w:type="gramEnd"/>
    </w:p>
    <w:p w14:paraId="61D293F2" w14:textId="77777777" w:rsidR="00D30ECA" w:rsidRDefault="007051BF" w:rsidP="00E8529F">
      <w:pPr>
        <w:widowControl w:val="0"/>
        <w:jc w:val="both"/>
        <w:rPr>
          <w:snapToGrid w:val="0"/>
        </w:rPr>
      </w:pPr>
    </w:p>
    <w:p w14:paraId="668285E0" w14:textId="77777777" w:rsidR="00D02113" w:rsidRPr="00D02113" w:rsidRDefault="009479AD" w:rsidP="00E8529F">
      <w:pPr>
        <w:widowControl w:val="0"/>
        <w:jc w:val="both"/>
        <w:rPr>
          <w:i/>
          <w:snapToGrid w:val="0"/>
          <w:u w:val="single"/>
        </w:rPr>
      </w:pPr>
      <w:r w:rsidRPr="00D02113">
        <w:rPr>
          <w:i/>
          <w:snapToGrid w:val="0"/>
          <w:u w:val="single"/>
        </w:rPr>
        <w:t xml:space="preserve">Disciplinary </w:t>
      </w:r>
      <w:r>
        <w:rPr>
          <w:i/>
          <w:snapToGrid w:val="0"/>
          <w:u w:val="single"/>
        </w:rPr>
        <w:t>Action</w:t>
      </w:r>
    </w:p>
    <w:p w14:paraId="3856CFD9" w14:textId="37B1C872" w:rsidR="00D30ECA" w:rsidRDefault="009479AD" w:rsidP="00E8529F">
      <w:pPr>
        <w:widowControl w:val="0"/>
        <w:jc w:val="both"/>
        <w:rPr>
          <w:snapToGrid w:val="0"/>
        </w:rPr>
      </w:pPr>
      <w:r w:rsidRPr="00D30ECA">
        <w:rPr>
          <w:snapToGrid w:val="0"/>
        </w:rPr>
        <w:t xml:space="preserve">(6) The development of policies and procedures addressing the non-employment or retention of individuals or entities excluded from participation in federal health care programs, and the enforcement of appropriate disciplinary action against employees or contractors who have violated company policies and procedures and/or applicable federal health care program requirements; and </w:t>
      </w:r>
    </w:p>
    <w:p w14:paraId="757079C4" w14:textId="77777777" w:rsidR="00D30ECA" w:rsidRDefault="007051BF" w:rsidP="00E8529F">
      <w:pPr>
        <w:widowControl w:val="0"/>
        <w:jc w:val="both"/>
        <w:rPr>
          <w:snapToGrid w:val="0"/>
        </w:rPr>
      </w:pPr>
    </w:p>
    <w:p w14:paraId="76FC4E68" w14:textId="77777777" w:rsidR="00D02113" w:rsidRPr="00D02113" w:rsidRDefault="009479AD" w:rsidP="00E8529F">
      <w:pPr>
        <w:widowControl w:val="0"/>
        <w:jc w:val="both"/>
        <w:rPr>
          <w:i/>
          <w:snapToGrid w:val="0"/>
          <w:u w:val="single"/>
        </w:rPr>
      </w:pPr>
      <w:r w:rsidRPr="00D02113">
        <w:rPr>
          <w:i/>
          <w:snapToGrid w:val="0"/>
          <w:u w:val="single"/>
        </w:rPr>
        <w:t>Investigation and Corrective Actions</w:t>
      </w:r>
    </w:p>
    <w:p w14:paraId="4858F5E0" w14:textId="031C33B4" w:rsidR="00D30ECA" w:rsidRDefault="009479AD" w:rsidP="00E8529F">
      <w:pPr>
        <w:widowControl w:val="0"/>
        <w:jc w:val="both"/>
        <w:rPr>
          <w:snapToGrid w:val="0"/>
        </w:rPr>
      </w:pPr>
      <w:r w:rsidRPr="00D30ECA">
        <w:rPr>
          <w:snapToGrid w:val="0"/>
        </w:rPr>
        <w:t>(7) The development of policies and procedures for the investigation of identified instances of noncompliance or misconduct. These should include directions regarding the prompt and proper response to detected offenses, such as the initiation of appropriate corrective action and preventive measures and processes to report the offense to relevant authorities in appropriate circumstances.</w:t>
      </w:r>
    </w:p>
    <w:p w14:paraId="17DD633A" w14:textId="77777777" w:rsidR="00251E5B" w:rsidRDefault="007051BF" w:rsidP="00E8529F">
      <w:pPr>
        <w:widowControl w:val="0"/>
        <w:jc w:val="both"/>
        <w:rPr>
          <w:snapToGrid w:val="0"/>
        </w:rPr>
      </w:pPr>
    </w:p>
    <w:p w14:paraId="23345B2C" w14:textId="564B307B" w:rsidR="00251E5B" w:rsidRDefault="009479AD" w:rsidP="00E8529F">
      <w:pPr>
        <w:widowControl w:val="0"/>
        <w:jc w:val="both"/>
        <w:rPr>
          <w:snapToGrid w:val="0"/>
        </w:rPr>
      </w:pPr>
      <w:r w:rsidRPr="00251E5B">
        <w:rPr>
          <w:snapToGrid w:val="0"/>
        </w:rPr>
        <w:t xml:space="preserve">In response to California Health &amp; Safety Code §§119400 et seq., </w:t>
      </w:r>
      <w:r>
        <w:rPr>
          <w:snapToGrid w:val="0"/>
        </w:rPr>
        <w:t>RefleXion</w:t>
      </w:r>
      <w:r w:rsidRPr="00251E5B">
        <w:rPr>
          <w:snapToGrid w:val="0"/>
        </w:rPr>
        <w:t xml:space="preserve"> has established an annual spending limit </w:t>
      </w:r>
      <w:r w:rsidRPr="00F662F9">
        <w:rPr>
          <w:snapToGrid w:val="0"/>
        </w:rPr>
        <w:t>of $</w:t>
      </w:r>
      <w:r w:rsidR="004265FE" w:rsidRPr="00F662F9">
        <w:t>4,000</w:t>
      </w:r>
      <w:r w:rsidRPr="00F662F9">
        <w:rPr>
          <w:snapToGrid w:val="0"/>
        </w:rPr>
        <w:t xml:space="preserve"> for gifts,</w:t>
      </w:r>
      <w:r w:rsidRPr="00251E5B">
        <w:rPr>
          <w:snapToGrid w:val="0"/>
        </w:rPr>
        <w:t xml:space="preserve"> promotional materials, items or activities directed toward "individual medical and healthcare professionals" in California.</w:t>
      </w:r>
    </w:p>
    <w:p w14:paraId="039AB859" w14:textId="77777777" w:rsidR="0099471F" w:rsidRDefault="007051BF" w:rsidP="009F0D26">
      <w:pPr>
        <w:widowControl w:val="0"/>
        <w:jc w:val="both"/>
        <w:rPr>
          <w:snapToGrid w:val="0"/>
        </w:rPr>
      </w:pPr>
    </w:p>
    <w:sectPr w:rsidR="0099471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46B9" w14:textId="77777777" w:rsidR="007051BF" w:rsidRDefault="007051BF">
      <w:r>
        <w:separator/>
      </w:r>
    </w:p>
  </w:endnote>
  <w:endnote w:type="continuationSeparator" w:id="0">
    <w:p w14:paraId="2F2D3727" w14:textId="77777777" w:rsidR="007051BF" w:rsidRDefault="007051BF">
      <w:r>
        <w:continuationSeparator/>
      </w:r>
    </w:p>
  </w:endnote>
  <w:endnote w:type="continuationNotice" w:id="1">
    <w:p w14:paraId="2B0606EB" w14:textId="77777777" w:rsidR="007051BF" w:rsidRDefault="0070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23773"/>
      <w:docPartObj>
        <w:docPartGallery w:val="Page Numbers (Bottom of Page)"/>
        <w:docPartUnique/>
      </w:docPartObj>
    </w:sdtPr>
    <w:sdtEndPr>
      <w:rPr>
        <w:noProof/>
      </w:rPr>
    </w:sdtEndPr>
    <w:sdtContent>
      <w:p w14:paraId="283AB62A" w14:textId="77777777" w:rsidR="00847BEE" w:rsidRDefault="009479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6B1E87" w14:textId="77777777" w:rsidR="00847BEE" w:rsidRDefault="0070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4BC2" w14:textId="77777777" w:rsidR="007051BF" w:rsidRDefault="007051BF">
      <w:r>
        <w:separator/>
      </w:r>
    </w:p>
  </w:footnote>
  <w:footnote w:type="continuationSeparator" w:id="0">
    <w:p w14:paraId="781FD469" w14:textId="77777777" w:rsidR="007051BF" w:rsidRDefault="007051BF">
      <w:r>
        <w:continuationSeparator/>
      </w:r>
    </w:p>
  </w:footnote>
  <w:footnote w:type="continuationNotice" w:id="1">
    <w:p w14:paraId="330E1E03" w14:textId="77777777" w:rsidR="007051BF" w:rsidRDefault="00705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B92E" w14:textId="62319D37" w:rsidR="00847BEE" w:rsidRDefault="009479AD">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D2"/>
    <w:rsid w:val="00001F3B"/>
    <w:rsid w:val="00014C2D"/>
    <w:rsid w:val="00020FFB"/>
    <w:rsid w:val="0003235E"/>
    <w:rsid w:val="00076964"/>
    <w:rsid w:val="000A67A2"/>
    <w:rsid w:val="000D135D"/>
    <w:rsid w:val="000D19F0"/>
    <w:rsid w:val="001261E1"/>
    <w:rsid w:val="001B71F7"/>
    <w:rsid w:val="001C4858"/>
    <w:rsid w:val="001C6B5B"/>
    <w:rsid w:val="0023489A"/>
    <w:rsid w:val="002A473B"/>
    <w:rsid w:val="002D3505"/>
    <w:rsid w:val="00352538"/>
    <w:rsid w:val="003A63F3"/>
    <w:rsid w:val="004265FE"/>
    <w:rsid w:val="00426C7C"/>
    <w:rsid w:val="00494022"/>
    <w:rsid w:val="00495E37"/>
    <w:rsid w:val="004D2D8B"/>
    <w:rsid w:val="00606089"/>
    <w:rsid w:val="00650D46"/>
    <w:rsid w:val="00665DB7"/>
    <w:rsid w:val="0068405E"/>
    <w:rsid w:val="006F656B"/>
    <w:rsid w:val="006F7350"/>
    <w:rsid w:val="007051BF"/>
    <w:rsid w:val="00720BBC"/>
    <w:rsid w:val="00742661"/>
    <w:rsid w:val="00766069"/>
    <w:rsid w:val="00797AD2"/>
    <w:rsid w:val="007A5CF1"/>
    <w:rsid w:val="007B2ED2"/>
    <w:rsid w:val="007D4BD6"/>
    <w:rsid w:val="008C209D"/>
    <w:rsid w:val="00945978"/>
    <w:rsid w:val="009479AD"/>
    <w:rsid w:val="009D281B"/>
    <w:rsid w:val="009F0D26"/>
    <w:rsid w:val="00A127A0"/>
    <w:rsid w:val="00AC7A76"/>
    <w:rsid w:val="00B17CE0"/>
    <w:rsid w:val="00B20819"/>
    <w:rsid w:val="00B237BA"/>
    <w:rsid w:val="00B76C9E"/>
    <w:rsid w:val="00BD251B"/>
    <w:rsid w:val="00BE30BD"/>
    <w:rsid w:val="00BE5F23"/>
    <w:rsid w:val="00C547A1"/>
    <w:rsid w:val="00C63345"/>
    <w:rsid w:val="00CC4BBB"/>
    <w:rsid w:val="00CD3CAA"/>
    <w:rsid w:val="00D52B91"/>
    <w:rsid w:val="00D56F9F"/>
    <w:rsid w:val="00E57B5F"/>
    <w:rsid w:val="00ED54AA"/>
    <w:rsid w:val="00F607D8"/>
    <w:rsid w:val="00F64BDB"/>
    <w:rsid w:val="00F6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4CB1"/>
  <w15:docId w15:val="{26FDA132-C199-9043-B160-571D9ADD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FF"/>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uiPriority w:val="9"/>
    <w:qFormat/>
    <w:rsid w:val="00467700"/>
    <w:pPr>
      <w:keepNext/>
      <w:keepLines/>
      <w:spacing w:after="240"/>
      <w:outlineLvl w:val="0"/>
    </w:pPr>
    <w:rPr>
      <w:b/>
      <w:bCs/>
      <w:caps/>
      <w:kern w:val="32"/>
      <w:szCs w:val="32"/>
    </w:rPr>
  </w:style>
  <w:style w:type="paragraph" w:styleId="Heading2">
    <w:name w:val="heading 2"/>
    <w:basedOn w:val="Heading1"/>
    <w:next w:val="BodyText"/>
    <w:link w:val="Heading2Char"/>
    <w:uiPriority w:val="9"/>
    <w:unhideWhenUsed/>
    <w:qFormat/>
    <w:rsid w:val="00467700"/>
    <w:pPr>
      <w:outlineLvl w:val="1"/>
    </w:pPr>
    <w:rPr>
      <w:rFonts w:eastAsiaTheme="majorEastAsia" w:cstheme="majorBidi"/>
      <w:bCs w:val="0"/>
      <w:iCs/>
      <w:caps w:val="0"/>
      <w:szCs w:val="28"/>
    </w:rPr>
  </w:style>
  <w:style w:type="paragraph" w:styleId="Heading3">
    <w:name w:val="heading 3"/>
    <w:basedOn w:val="Heading2"/>
    <w:next w:val="BodyText"/>
    <w:link w:val="Heading3Char"/>
    <w:uiPriority w:val="9"/>
    <w:unhideWhenUsed/>
    <w:qFormat/>
    <w:rsid w:val="00467700"/>
    <w:pPr>
      <w:outlineLvl w:val="2"/>
    </w:pPr>
    <w:rPr>
      <w:bCs/>
      <w:szCs w:val="26"/>
    </w:rPr>
  </w:style>
  <w:style w:type="paragraph" w:styleId="Heading4">
    <w:name w:val="heading 4"/>
    <w:basedOn w:val="Heading3"/>
    <w:next w:val="BodyText"/>
    <w:link w:val="Heading4Char"/>
    <w:uiPriority w:val="9"/>
    <w:unhideWhenUsed/>
    <w:qFormat/>
    <w:rsid w:val="00467700"/>
    <w:pPr>
      <w:outlineLvl w:val="3"/>
    </w:pPr>
    <w:rPr>
      <w:rFonts w:eastAsia="Times New Roman" w:cs="Times New Roman"/>
      <w:bCs w:val="0"/>
      <w:szCs w:val="28"/>
    </w:rPr>
  </w:style>
  <w:style w:type="paragraph" w:styleId="Heading5">
    <w:name w:val="heading 5"/>
    <w:basedOn w:val="Heading4"/>
    <w:next w:val="BodyText"/>
    <w:link w:val="Heading5Char"/>
    <w:uiPriority w:val="9"/>
    <w:unhideWhenUsed/>
    <w:qFormat/>
    <w:rsid w:val="00467700"/>
    <w:pPr>
      <w:outlineLvl w:val="4"/>
    </w:pPr>
    <w:rPr>
      <w:bCs/>
      <w:iCs w:val="0"/>
      <w:szCs w:val="26"/>
    </w:rPr>
  </w:style>
  <w:style w:type="paragraph" w:styleId="Heading6">
    <w:name w:val="heading 6"/>
    <w:basedOn w:val="Heading5"/>
    <w:next w:val="BodyText"/>
    <w:link w:val="Heading6Char"/>
    <w:uiPriority w:val="9"/>
    <w:unhideWhenUsed/>
    <w:qFormat/>
    <w:rsid w:val="00467700"/>
    <w:pPr>
      <w:outlineLvl w:val="5"/>
    </w:pPr>
    <w:rPr>
      <w:bCs w:val="0"/>
    </w:rPr>
  </w:style>
  <w:style w:type="paragraph" w:styleId="Heading7">
    <w:name w:val="heading 7"/>
    <w:basedOn w:val="Heading6"/>
    <w:next w:val="BodyText"/>
    <w:link w:val="Heading7Char"/>
    <w:uiPriority w:val="9"/>
    <w:unhideWhenUsed/>
    <w:qFormat/>
    <w:rsid w:val="00467700"/>
    <w:pPr>
      <w:outlineLvl w:val="6"/>
    </w:pPr>
    <w:rPr>
      <w:szCs w:val="24"/>
    </w:rPr>
  </w:style>
  <w:style w:type="paragraph" w:styleId="Heading8">
    <w:name w:val="heading 8"/>
    <w:basedOn w:val="Heading7"/>
    <w:next w:val="BodyText"/>
    <w:link w:val="Heading8Char"/>
    <w:uiPriority w:val="9"/>
    <w:unhideWhenUsed/>
    <w:qFormat/>
    <w:rsid w:val="00467700"/>
    <w:pPr>
      <w:outlineLvl w:val="7"/>
    </w:pPr>
    <w:rPr>
      <w:iCs/>
    </w:rPr>
  </w:style>
  <w:style w:type="paragraph" w:styleId="Heading9">
    <w:name w:val="heading 9"/>
    <w:basedOn w:val="Normal"/>
    <w:next w:val="Normal"/>
    <w:link w:val="Heading9Char"/>
    <w:uiPriority w:val="9"/>
    <w:unhideWhenUsed/>
    <w:qFormat/>
    <w:rsid w:val="00467700"/>
    <w:pPr>
      <w:keepNext/>
      <w:keepLines/>
      <w:spacing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700"/>
    <w:rPr>
      <w:rFonts w:ascii="Times New Roman" w:eastAsia="Times New Roman" w:hAnsi="Times New Roman" w:cs="Times New Roman"/>
      <w:b/>
      <w:bCs/>
      <w:caps/>
      <w:kern w:val="32"/>
      <w:sz w:val="24"/>
      <w:szCs w:val="32"/>
    </w:rPr>
  </w:style>
  <w:style w:type="character" w:customStyle="1" w:styleId="Heading2Char">
    <w:name w:val="Heading 2 Char"/>
    <w:basedOn w:val="DefaultParagraphFont"/>
    <w:link w:val="Heading2"/>
    <w:uiPriority w:val="9"/>
    <w:rsid w:val="00467700"/>
    <w:rPr>
      <w:rFonts w:ascii="Times New Roman" w:eastAsiaTheme="majorEastAsia" w:hAnsi="Times New Roman" w:cstheme="majorBidi"/>
      <w:b/>
      <w:iCs/>
      <w:kern w:val="32"/>
      <w:sz w:val="24"/>
      <w:szCs w:val="28"/>
    </w:rPr>
  </w:style>
  <w:style w:type="character" w:customStyle="1" w:styleId="Heading3Char">
    <w:name w:val="Heading 3 Char"/>
    <w:link w:val="Heading3"/>
    <w:uiPriority w:val="9"/>
    <w:rsid w:val="00467700"/>
    <w:rPr>
      <w:rFonts w:ascii="Times New Roman" w:eastAsiaTheme="majorEastAsia" w:hAnsi="Times New Roman" w:cstheme="majorBidi"/>
      <w:b/>
      <w:bCs/>
      <w:iCs/>
      <w:kern w:val="32"/>
      <w:sz w:val="24"/>
      <w:szCs w:val="26"/>
    </w:rPr>
  </w:style>
  <w:style w:type="character" w:customStyle="1" w:styleId="Heading4Char">
    <w:name w:val="Heading 4 Char"/>
    <w:link w:val="Heading4"/>
    <w:uiPriority w:val="9"/>
    <w:rsid w:val="00467700"/>
    <w:rPr>
      <w:rFonts w:ascii="Times New Roman" w:eastAsia="Times New Roman" w:hAnsi="Times New Roman" w:cs="Times New Roman"/>
      <w:b/>
      <w:iCs/>
      <w:kern w:val="32"/>
      <w:sz w:val="24"/>
      <w:szCs w:val="28"/>
    </w:rPr>
  </w:style>
  <w:style w:type="character" w:customStyle="1" w:styleId="Heading5Char">
    <w:name w:val="Heading 5 Char"/>
    <w:link w:val="Heading5"/>
    <w:uiPriority w:val="9"/>
    <w:rsid w:val="00467700"/>
    <w:rPr>
      <w:rFonts w:ascii="Times New Roman" w:eastAsia="Times New Roman" w:hAnsi="Times New Roman" w:cs="Times New Roman"/>
      <w:b/>
      <w:bCs/>
      <w:kern w:val="32"/>
      <w:sz w:val="24"/>
      <w:szCs w:val="26"/>
    </w:rPr>
  </w:style>
  <w:style w:type="character" w:customStyle="1" w:styleId="Heading6Char">
    <w:name w:val="Heading 6 Char"/>
    <w:link w:val="Heading6"/>
    <w:uiPriority w:val="9"/>
    <w:rsid w:val="00467700"/>
    <w:rPr>
      <w:rFonts w:ascii="Times New Roman" w:eastAsia="Times New Roman" w:hAnsi="Times New Roman" w:cs="Times New Roman"/>
      <w:b/>
      <w:kern w:val="32"/>
      <w:sz w:val="24"/>
      <w:szCs w:val="26"/>
    </w:rPr>
  </w:style>
  <w:style w:type="character" w:customStyle="1" w:styleId="Heading7Char">
    <w:name w:val="Heading 7 Char"/>
    <w:link w:val="Heading7"/>
    <w:uiPriority w:val="9"/>
    <w:rsid w:val="00467700"/>
    <w:rPr>
      <w:rFonts w:ascii="Times New Roman" w:eastAsia="Times New Roman" w:hAnsi="Times New Roman" w:cs="Times New Roman"/>
      <w:b/>
      <w:kern w:val="32"/>
      <w:sz w:val="24"/>
      <w:szCs w:val="24"/>
    </w:rPr>
  </w:style>
  <w:style w:type="character" w:customStyle="1" w:styleId="Heading8Char">
    <w:name w:val="Heading 8 Char"/>
    <w:link w:val="Heading8"/>
    <w:uiPriority w:val="9"/>
    <w:rsid w:val="00467700"/>
    <w:rPr>
      <w:rFonts w:ascii="Times New Roman" w:eastAsia="Times New Roman" w:hAnsi="Times New Roman" w:cs="Times New Roman"/>
      <w:b/>
      <w:iCs/>
      <w:kern w:val="32"/>
      <w:sz w:val="24"/>
      <w:szCs w:val="24"/>
    </w:rPr>
  </w:style>
  <w:style w:type="character" w:customStyle="1" w:styleId="Heading9Char">
    <w:name w:val="Heading 9 Char"/>
    <w:link w:val="Heading9"/>
    <w:uiPriority w:val="9"/>
    <w:rsid w:val="00467700"/>
    <w:rPr>
      <w:rFonts w:ascii="Times New Roman" w:eastAsia="Times New Roman" w:hAnsi="Times New Roman" w:cs="Times New Roman"/>
      <w:b/>
      <w:sz w:val="24"/>
      <w:szCs w:val="24"/>
    </w:rPr>
  </w:style>
  <w:style w:type="paragraph" w:styleId="Quote">
    <w:name w:val="Quote"/>
    <w:basedOn w:val="Normal"/>
    <w:next w:val="Normal"/>
    <w:link w:val="QuoteChar"/>
    <w:uiPriority w:val="29"/>
    <w:qFormat/>
    <w:rsid w:val="00467700"/>
    <w:pPr>
      <w:spacing w:after="240"/>
      <w:ind w:left="1440" w:right="1440"/>
    </w:pPr>
    <w:rPr>
      <w:rFonts w:eastAsiaTheme="minorHAnsi"/>
      <w:iCs/>
      <w:color w:val="000000" w:themeColor="text1"/>
      <w:szCs w:val="24"/>
    </w:rPr>
  </w:style>
  <w:style w:type="character" w:customStyle="1" w:styleId="QuoteChar">
    <w:name w:val="Quote Char"/>
    <w:basedOn w:val="DefaultParagraphFont"/>
    <w:link w:val="Quote"/>
    <w:uiPriority w:val="29"/>
    <w:rsid w:val="00467700"/>
    <w:rPr>
      <w:rFonts w:ascii="Times New Roman" w:hAnsi="Times New Roman" w:cs="Times New Roman"/>
      <w:iCs/>
      <w:color w:val="000000" w:themeColor="text1"/>
      <w:sz w:val="24"/>
      <w:szCs w:val="24"/>
    </w:rPr>
  </w:style>
  <w:style w:type="paragraph" w:styleId="BodyText">
    <w:name w:val="Body Text"/>
    <w:basedOn w:val="Normal"/>
    <w:link w:val="BodyTextChar"/>
    <w:uiPriority w:val="99"/>
    <w:unhideWhenUsed/>
    <w:qFormat/>
    <w:rsid w:val="00467700"/>
    <w:pPr>
      <w:spacing w:after="240"/>
      <w:ind w:firstLine="720"/>
    </w:pPr>
    <w:rPr>
      <w:rFonts w:eastAsiaTheme="minorHAnsi"/>
      <w:szCs w:val="24"/>
    </w:rPr>
  </w:style>
  <w:style w:type="character" w:customStyle="1" w:styleId="BodyTextChar">
    <w:name w:val="Body Text Char"/>
    <w:basedOn w:val="DefaultParagraphFont"/>
    <w:link w:val="BodyText"/>
    <w:uiPriority w:val="99"/>
    <w:rsid w:val="00467700"/>
    <w:rPr>
      <w:rFonts w:ascii="Times New Roman" w:hAnsi="Times New Roman" w:cs="Times New Roman"/>
      <w:sz w:val="24"/>
      <w:szCs w:val="24"/>
    </w:rPr>
  </w:style>
  <w:style w:type="paragraph" w:customStyle="1" w:styleId="BodyTextContinued">
    <w:name w:val="Body Text Continued"/>
    <w:basedOn w:val="BodyText"/>
    <w:qFormat/>
    <w:rsid w:val="00467700"/>
    <w:pPr>
      <w:ind w:firstLine="0"/>
    </w:pPr>
    <w:rPr>
      <w:rFonts w:eastAsia="Calibri"/>
    </w:rPr>
  </w:style>
  <w:style w:type="paragraph" w:styleId="Footer">
    <w:name w:val="footer"/>
    <w:basedOn w:val="Normal"/>
    <w:link w:val="FooterChar"/>
    <w:uiPriority w:val="99"/>
    <w:unhideWhenUsed/>
    <w:rsid w:val="00467700"/>
    <w:pPr>
      <w:tabs>
        <w:tab w:val="center" w:pos="4680"/>
        <w:tab w:val="right" w:pos="9360"/>
      </w:tabs>
    </w:pPr>
    <w:rPr>
      <w:rFonts w:eastAsiaTheme="minorHAnsi"/>
      <w:szCs w:val="24"/>
    </w:rPr>
  </w:style>
  <w:style w:type="character" w:customStyle="1" w:styleId="FooterChar">
    <w:name w:val="Footer Char"/>
    <w:basedOn w:val="DefaultParagraphFont"/>
    <w:link w:val="Footer"/>
    <w:uiPriority w:val="99"/>
    <w:rsid w:val="00467700"/>
    <w:rPr>
      <w:rFonts w:ascii="Times New Roman" w:hAnsi="Times New Roman" w:cs="Times New Roman"/>
      <w:sz w:val="24"/>
      <w:szCs w:val="24"/>
    </w:rPr>
  </w:style>
  <w:style w:type="paragraph" w:styleId="Header">
    <w:name w:val="header"/>
    <w:basedOn w:val="Normal"/>
    <w:link w:val="HeaderChar"/>
    <w:uiPriority w:val="99"/>
    <w:unhideWhenUsed/>
    <w:rsid w:val="00467700"/>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467700"/>
    <w:rPr>
      <w:rFonts w:ascii="Times New Roman" w:hAnsi="Times New Roman" w:cs="Times New Roman"/>
      <w:sz w:val="24"/>
      <w:szCs w:val="24"/>
    </w:rPr>
  </w:style>
  <w:style w:type="paragraph" w:styleId="NoSpacing">
    <w:name w:val="No Spacing"/>
    <w:uiPriority w:val="1"/>
    <w:rsid w:val="00467700"/>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467700"/>
    <w:pPr>
      <w:keepNext/>
      <w:spacing w:after="240"/>
      <w:contextualSpacing/>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467700"/>
    <w:rPr>
      <w:rFonts w:ascii="Times New Roman" w:eastAsiaTheme="majorEastAsia" w:hAnsi="Times New Roman" w:cstheme="majorBidi"/>
      <w:b/>
      <w:caps/>
      <w:spacing w:val="5"/>
      <w:kern w:val="28"/>
      <w:sz w:val="24"/>
      <w:szCs w:val="52"/>
    </w:rPr>
  </w:style>
  <w:style w:type="paragraph" w:styleId="IntenseQuote">
    <w:name w:val="Intense Quote"/>
    <w:basedOn w:val="Normal"/>
    <w:next w:val="Normal"/>
    <w:link w:val="IntenseQuoteChar"/>
    <w:uiPriority w:val="30"/>
    <w:qFormat/>
    <w:rsid w:val="00467700"/>
    <w:pPr>
      <w:spacing w:after="240"/>
      <w:ind w:left="1440" w:right="1440"/>
    </w:pPr>
    <w:rPr>
      <w:rFonts w:eastAsia="Calibri"/>
      <w:bCs/>
      <w:i/>
      <w:iCs/>
      <w:szCs w:val="24"/>
    </w:rPr>
  </w:style>
  <w:style w:type="character" w:customStyle="1" w:styleId="IntenseQuoteChar">
    <w:name w:val="Intense Quote Char"/>
    <w:basedOn w:val="DefaultParagraphFont"/>
    <w:link w:val="IntenseQuote"/>
    <w:uiPriority w:val="30"/>
    <w:rsid w:val="00467700"/>
    <w:rPr>
      <w:rFonts w:ascii="Times New Roman" w:eastAsia="Calibri" w:hAnsi="Times New Roman" w:cs="Times New Roman"/>
      <w:bCs/>
      <w:i/>
      <w:iCs/>
      <w:sz w:val="24"/>
      <w:szCs w:val="24"/>
    </w:rPr>
  </w:style>
  <w:style w:type="paragraph" w:styleId="Subtitle">
    <w:name w:val="Subtitle"/>
    <w:basedOn w:val="Normal"/>
    <w:next w:val="Normal"/>
    <w:link w:val="SubtitleChar"/>
    <w:uiPriority w:val="11"/>
    <w:qFormat/>
    <w:rsid w:val="00467700"/>
    <w:pPr>
      <w:keepNext/>
      <w:keepLines/>
      <w:numPr>
        <w:ilvl w:val="1"/>
      </w:numPr>
      <w:spacing w:after="240"/>
    </w:pPr>
    <w:rPr>
      <w:rFonts w:eastAsiaTheme="majorEastAsia" w:cstheme="majorBidi"/>
      <w:b/>
      <w:iCs/>
      <w:spacing w:val="15"/>
      <w:szCs w:val="24"/>
    </w:rPr>
  </w:style>
  <w:style w:type="character" w:customStyle="1" w:styleId="SubtitleChar">
    <w:name w:val="Subtitle Char"/>
    <w:basedOn w:val="DefaultParagraphFont"/>
    <w:link w:val="Subtitle"/>
    <w:uiPriority w:val="11"/>
    <w:rsid w:val="00467700"/>
    <w:rPr>
      <w:rFonts w:ascii="Times New Roman" w:eastAsiaTheme="majorEastAsia" w:hAnsi="Times New Roman" w:cstheme="majorBidi"/>
      <w:b/>
      <w:iCs/>
      <w:spacing w:val="15"/>
      <w:sz w:val="24"/>
      <w:szCs w:val="24"/>
    </w:rPr>
  </w:style>
  <w:style w:type="character" w:styleId="Hyperlink">
    <w:name w:val="Hyperlink"/>
    <w:basedOn w:val="DefaultParagraphFont"/>
    <w:uiPriority w:val="99"/>
    <w:unhideWhenUsed/>
    <w:rsid w:val="00874BDB"/>
    <w:rPr>
      <w:color w:val="0563C1" w:themeColor="hyperlink"/>
      <w:u w:val="single"/>
    </w:rPr>
  </w:style>
  <w:style w:type="character" w:styleId="CommentReference">
    <w:name w:val="annotation reference"/>
    <w:basedOn w:val="DefaultParagraphFont"/>
    <w:uiPriority w:val="99"/>
    <w:semiHidden/>
    <w:unhideWhenUsed/>
    <w:rsid w:val="00E8529F"/>
    <w:rPr>
      <w:sz w:val="16"/>
      <w:szCs w:val="16"/>
    </w:rPr>
  </w:style>
  <w:style w:type="paragraph" w:styleId="CommentText">
    <w:name w:val="annotation text"/>
    <w:basedOn w:val="Normal"/>
    <w:link w:val="CommentTextChar"/>
    <w:uiPriority w:val="99"/>
    <w:semiHidden/>
    <w:unhideWhenUsed/>
    <w:rsid w:val="00E8529F"/>
    <w:rPr>
      <w:sz w:val="20"/>
    </w:rPr>
  </w:style>
  <w:style w:type="character" w:customStyle="1" w:styleId="CommentTextChar">
    <w:name w:val="Comment Text Char"/>
    <w:basedOn w:val="DefaultParagraphFont"/>
    <w:link w:val="CommentText"/>
    <w:uiPriority w:val="99"/>
    <w:semiHidden/>
    <w:rsid w:val="00E852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29F"/>
    <w:rPr>
      <w:b/>
      <w:bCs/>
    </w:rPr>
  </w:style>
  <w:style w:type="character" w:customStyle="1" w:styleId="CommentSubjectChar">
    <w:name w:val="Comment Subject Char"/>
    <w:basedOn w:val="CommentTextChar"/>
    <w:link w:val="CommentSubject"/>
    <w:uiPriority w:val="99"/>
    <w:semiHidden/>
    <w:rsid w:val="00E852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5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9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51E5B"/>
    <w:rPr>
      <w:color w:val="954F72" w:themeColor="followedHyperlink"/>
      <w:u w:val="single"/>
    </w:rPr>
  </w:style>
  <w:style w:type="paragraph" w:styleId="FootnoteText">
    <w:name w:val="footnote text"/>
    <w:basedOn w:val="Normal"/>
    <w:link w:val="FootnoteTextChar"/>
    <w:uiPriority w:val="99"/>
    <w:semiHidden/>
    <w:unhideWhenUsed/>
    <w:rsid w:val="00C547A1"/>
    <w:rPr>
      <w:sz w:val="20"/>
    </w:rPr>
  </w:style>
  <w:style w:type="character" w:customStyle="1" w:styleId="FootnoteTextChar">
    <w:name w:val="Footnote Text Char"/>
    <w:basedOn w:val="DefaultParagraphFont"/>
    <w:link w:val="FootnoteText"/>
    <w:uiPriority w:val="99"/>
    <w:semiHidden/>
    <w:rsid w:val="00C547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47A1"/>
    <w:rPr>
      <w:vertAlign w:val="superscript"/>
    </w:rPr>
  </w:style>
  <w:style w:type="character" w:styleId="UnresolvedMention">
    <w:name w:val="Unresolved Mention"/>
    <w:basedOn w:val="DefaultParagraphFont"/>
    <w:uiPriority w:val="99"/>
    <w:semiHidden/>
    <w:unhideWhenUsed/>
    <w:rsid w:val="008C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70721">
      <w:bodyDiv w:val="1"/>
      <w:marLeft w:val="0"/>
      <w:marRight w:val="0"/>
      <w:marTop w:val="0"/>
      <w:marBottom w:val="0"/>
      <w:divBdr>
        <w:top w:val="none" w:sz="0" w:space="0" w:color="auto"/>
        <w:left w:val="none" w:sz="0" w:space="0" w:color="auto"/>
        <w:bottom w:val="none" w:sz="0" w:space="0" w:color="auto"/>
        <w:right w:val="none" w:sz="0" w:space="0" w:color="auto"/>
      </w:divBdr>
    </w:div>
    <w:div w:id="1298684639">
      <w:bodyDiv w:val="1"/>
      <w:marLeft w:val="0"/>
      <w:marRight w:val="0"/>
      <w:marTop w:val="0"/>
      <w:marBottom w:val="0"/>
      <w:divBdr>
        <w:top w:val="none" w:sz="0" w:space="0" w:color="auto"/>
        <w:left w:val="none" w:sz="0" w:space="0" w:color="auto"/>
        <w:bottom w:val="none" w:sz="0" w:space="0" w:color="auto"/>
        <w:right w:val="none" w:sz="0" w:space="0" w:color="auto"/>
      </w:divBdr>
    </w:div>
    <w:div w:id="18430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med.org/sites/default/files/resource/advamed-code-of-ethics-202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info.legislature.ca.gov/faces/codes_displayText.xhtml?lawCode=HSC&amp;division=104.&amp;title=&amp;part=15.&amp;chapter=8.&amp;artic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g.hhs.gov/authorities/docs/03/050503FRCPGPharmac.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hrma.org/en/Codes-and-guidelines/Code-on-Interactions-with-Health-Care-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Holifield</dc:creator>
  <cp:lastModifiedBy>Jeffrey Holifield</cp:lastModifiedBy>
  <cp:revision>3</cp:revision>
  <dcterms:created xsi:type="dcterms:W3CDTF">2021-06-09T18:23:00Z</dcterms:created>
  <dcterms:modified xsi:type="dcterms:W3CDTF">2021-06-09T19:25:00Z</dcterms:modified>
</cp:coreProperties>
</file>